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</w:pPr>
      <w:bookmarkStart w:id="0" w:name="_GoBack"/>
      <w:bookmarkEnd w:id="0"/>
    </w:p>
    <w:p>
      <w:pPr>
        <w:pStyle w:val="2"/>
        <w:spacing w:before="0" w:after="156" w:afterLines="50" w:line="560" w:lineRule="exact"/>
        <w:rPr>
          <w:rFonts w:ascii="方正小标宋简体" w:hAnsi="方正小标宋简体" w:eastAsia="方正小标宋简体" w:cs="方正小标宋简体"/>
          <w:b w:val="0"/>
          <w:color w:val="auto"/>
          <w:spacing w:val="-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color w:val="auto"/>
          <w:spacing w:val="-6"/>
          <w:sz w:val="44"/>
          <w:szCs w:val="44"/>
        </w:rPr>
        <w:t xml:space="preserve">“科创融教”职业教育改革创新课题申报指南 </w:t>
      </w:r>
    </w:p>
    <w:p>
      <w:pPr>
        <w:pStyle w:val="10"/>
        <w:numPr>
          <w:ilvl w:val="3"/>
          <w:numId w:val="0"/>
        </w:numPr>
        <w:spacing w:before="0" w:after="0" w:line="560" w:lineRule="exact"/>
        <w:ind w:firstLine="566" w:firstLineChars="177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>为贯彻落实《国务院办公厅关于深化产教融合的若干意见》《国家职业教育改革实施方案》精神，深度研究影响职业教育改革发展和人才培养质量的关键问题，聚焦热点难点问题，运用创新思维，探索改革举措，形成可复制、可推广的研究成果，特制定本指南。</w:t>
      </w:r>
    </w:p>
    <w:p>
      <w:pPr>
        <w:pStyle w:val="10"/>
        <w:numPr>
          <w:ilvl w:val="3"/>
          <w:numId w:val="0"/>
        </w:numPr>
        <w:spacing w:before="0" w:after="0" w:line="560" w:lineRule="exact"/>
        <w:ind w:firstLine="566" w:firstLineChars="177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一、指导思想</w:t>
      </w:r>
    </w:p>
    <w:p>
      <w:pPr>
        <w:pStyle w:val="10"/>
        <w:numPr>
          <w:ilvl w:val="3"/>
          <w:numId w:val="0"/>
        </w:numPr>
        <w:spacing w:before="0" w:after="0" w:line="560" w:lineRule="exact"/>
        <w:ind w:firstLine="566" w:firstLineChars="177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>以习近平新时代中国特色社会主义思想为指导，贯彻党的十九大、十九届五中全会精神和全国教育大会精神，牢固树立新发展理念，落实《国务院办公厅关于深化产教融合的若干意见》《国家职业教育改革实施方案》和《职业教育提质培优行动计划（2020-2023）》，坚持服务高质量发展、深化改革创新的研究方向，解放思想，实事求是，大力推进新时代职业教育的理论创新、制度创新和方法创新，通过开展理论研究与创新实践，总结凝练研究成果并进行转化推广，为提升产教融合水平和人才培养质量提供理论支撑和成果借鉴。</w:t>
      </w:r>
    </w:p>
    <w:p>
      <w:pPr>
        <w:pStyle w:val="10"/>
        <w:numPr>
          <w:ilvl w:val="3"/>
          <w:numId w:val="0"/>
        </w:numPr>
        <w:spacing w:before="0" w:after="0" w:line="560" w:lineRule="exact"/>
        <w:ind w:firstLine="566" w:firstLineChars="177"/>
        <w:rPr>
          <w:rFonts w:ascii="Times New Roman" w:hAnsi="Times New Roman" w:eastAsia="仿宋_GB2312"/>
          <w:bCs/>
          <w:sz w:val="32"/>
          <w:szCs w:val="32"/>
        </w:rPr>
      </w:pPr>
    </w:p>
    <w:p>
      <w:pPr>
        <w:pStyle w:val="10"/>
        <w:numPr>
          <w:ilvl w:val="3"/>
          <w:numId w:val="0"/>
        </w:numPr>
        <w:spacing w:before="0" w:after="0" w:line="560" w:lineRule="exact"/>
        <w:ind w:firstLine="566" w:firstLineChars="177"/>
        <w:rPr>
          <w:rFonts w:ascii="Times New Roman" w:hAnsi="Times New Roman" w:eastAsia="仿宋_GB2312"/>
          <w:bCs/>
          <w:sz w:val="32"/>
          <w:szCs w:val="32"/>
        </w:rPr>
      </w:pPr>
    </w:p>
    <w:p>
      <w:pPr>
        <w:pStyle w:val="10"/>
        <w:numPr>
          <w:ilvl w:val="3"/>
          <w:numId w:val="0"/>
        </w:numPr>
        <w:spacing w:before="0" w:after="0" w:line="560" w:lineRule="exact"/>
        <w:ind w:firstLine="566" w:firstLineChars="177"/>
        <w:rPr>
          <w:rFonts w:ascii="Times New Roman" w:hAnsi="Times New Roman" w:eastAsia="仿宋_GB2312"/>
          <w:bCs/>
          <w:sz w:val="32"/>
          <w:szCs w:val="32"/>
        </w:rPr>
      </w:pPr>
    </w:p>
    <w:p>
      <w:pPr>
        <w:pStyle w:val="10"/>
        <w:numPr>
          <w:ilvl w:val="3"/>
          <w:numId w:val="0"/>
        </w:numPr>
        <w:spacing w:before="0" w:after="0" w:line="560" w:lineRule="exact"/>
        <w:ind w:firstLine="566" w:firstLineChars="177"/>
        <w:rPr>
          <w:rFonts w:ascii="Times New Roman" w:hAnsi="Times New Roman" w:eastAsia="仿宋_GB2312"/>
          <w:bCs/>
          <w:sz w:val="32"/>
          <w:szCs w:val="32"/>
        </w:rPr>
      </w:pPr>
    </w:p>
    <w:p>
      <w:pPr>
        <w:pStyle w:val="10"/>
        <w:numPr>
          <w:ilvl w:val="3"/>
          <w:numId w:val="0"/>
        </w:numPr>
        <w:spacing w:before="0" w:after="0" w:line="560" w:lineRule="exact"/>
        <w:ind w:firstLine="566" w:firstLineChars="177"/>
        <w:rPr>
          <w:rFonts w:ascii="Times New Roman" w:hAnsi="Times New Roman" w:eastAsia="仿宋_GB2312"/>
          <w:bCs/>
          <w:sz w:val="32"/>
          <w:szCs w:val="32"/>
        </w:rPr>
      </w:pPr>
    </w:p>
    <w:p>
      <w:pPr>
        <w:pStyle w:val="10"/>
        <w:numPr>
          <w:ilvl w:val="3"/>
          <w:numId w:val="0"/>
        </w:numPr>
        <w:spacing w:before="0" w:after="0" w:line="560" w:lineRule="exact"/>
        <w:ind w:firstLine="566" w:firstLineChars="177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00" w:lineRule="exact"/>
        <w:jc w:val="center"/>
        <w:rPr>
          <w:rFonts w:ascii="方正小标宋简体" w:hAnsi="方正小标宋简体" w:eastAsia="方正小标宋简体" w:cs="方正小标宋简体"/>
          <w:b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选题指南</w:t>
      </w:r>
    </w:p>
    <w:p>
      <w:pPr>
        <w:spacing w:line="200" w:lineRule="exact"/>
        <w:jc w:val="center"/>
        <w:rPr>
          <w:rFonts w:ascii="方正小标宋简体" w:hAnsi="方正小标宋简体" w:eastAsia="方正小标宋简体" w:cs="方正小标宋简体"/>
          <w:b/>
          <w:color w:val="000000"/>
          <w:sz w:val="28"/>
          <w:szCs w:val="28"/>
        </w:rPr>
      </w:pPr>
    </w:p>
    <w:tbl>
      <w:tblPr>
        <w:tblStyle w:val="5"/>
        <w:tblW w:w="90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7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137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研究领域</w:t>
            </w:r>
          </w:p>
        </w:tc>
        <w:tc>
          <w:tcPr>
            <w:tcW w:w="768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1" w:hRule="atLeast"/>
        </w:trPr>
        <w:tc>
          <w:tcPr>
            <w:tcW w:w="1371" w:type="dxa"/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职业教育创新发展研究</w:t>
            </w:r>
          </w:p>
        </w:tc>
        <w:tc>
          <w:tcPr>
            <w:tcW w:w="7680" w:type="dxa"/>
          </w:tcPr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1.1中国特色职业教育制度建设研究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1.2. 职业教育体系构建研究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1.3.职业教育治理体系和治理能力现代化研究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1.4.职业教育提质培优、增值赋能研究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1.5.国家职业教育创新发展高地建设研究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1.6.技术技能人才长学制贯通培养模式研究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1.7.职业院校内涵建设及配套制度研究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1.8中国职业教育标准国际化实践应用研究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</w:trPr>
        <w:tc>
          <w:tcPr>
            <w:tcW w:w="1371" w:type="dxa"/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产教融合研究</w:t>
            </w:r>
          </w:p>
        </w:tc>
        <w:tc>
          <w:tcPr>
            <w:tcW w:w="7680" w:type="dxa"/>
          </w:tcPr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2.1新时代推进产教融合的系统化激励制度研究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2.2校企命运共同体的构建与治理机制研究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2.3 行指委推进产教融合机制研究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2.4行指委推进校企合作机制研究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2.5职业教育混合所有制改革研究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2.6校企共建产业学院的模式和路径研究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2.7校企共建实训基地的模式和路径研究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2.8示范性职业教育集团（联盟）建设研究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371" w:type="dxa"/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多元化办学体制机制研究</w:t>
            </w:r>
          </w:p>
        </w:tc>
        <w:tc>
          <w:tcPr>
            <w:tcW w:w="7680" w:type="dxa"/>
          </w:tcPr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3.1行业指导职业教育人才培养研究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3.2中国特色高水平高职院校建设研究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3.3现代学徒制、企业新型学徒制研究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3.4职业教育质量保障机制研究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3.5新时代职业教育评价体系和机制研究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3.6基于多元化办学的院校内部管理实践研究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3.7职业教育国际合作办学体制、机制研究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3.8现代职业院校治理能力建设与院校章程研究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371" w:type="dxa"/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专业与师资队伍建设研究</w:t>
            </w:r>
          </w:p>
        </w:tc>
        <w:tc>
          <w:tcPr>
            <w:tcW w:w="7680" w:type="dxa"/>
          </w:tcPr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4.1专业建设对接产业发展的研究与实践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4.2高职本科专业教学标准研制逻辑与应用研究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4.3职业院校专业群组群逻辑及其人才培养方案制定研究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4.4中国特色高水平专业（群）建设研究与实践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4.5职业院校专业（群）的评价与激励研究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4.6“1+X”证书制度试点理论与实践研究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4.7职业技能等级证书社会化认证体系与优化建设研究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4.8学分银行制度下学生课外学习成果认证与转换研究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4.9.高水平“双师型”教师队伍的标准及建设路径研究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4.10 高水平教学创新团队的标准及建设路径研究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371" w:type="dxa"/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教学改革与创新</w:t>
            </w:r>
          </w:p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创业教育</w:t>
            </w:r>
          </w:p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研究</w:t>
            </w:r>
          </w:p>
        </w:tc>
        <w:tc>
          <w:tcPr>
            <w:tcW w:w="7680" w:type="dxa"/>
            <w:vAlign w:val="center"/>
          </w:tcPr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5.1职业院校推进“三教”改革的协同机制研究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5.2职业院校线上线下融合的教学模式研究与实践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5.3专业教学素材库的开发与实践研究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5.4职业院校课程思政与专业教学融合的路径研究与实践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5.5教、学、做合一的一体化教学平台的建设与研究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5.6职业类型教育背景下“活页”教材资源建设与开发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5.7职业教育优质教学资源开发与共建共享机制研究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5.8基于学生主体学习的在线开放课程资源建设与应用研究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5.9以学生为中心的课堂教学改革的实践与探索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5.10基于现代学徒制管理模式下教学方式的变革研究与实践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5.11职业院校持续推进专创融合的激励机制研究 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5.12创新创业教育改革研究与实践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5.13基于培养学生创新精神和创业能力的专业课程体系建设与实践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371" w:type="dxa"/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信息技术在教学中的应用</w:t>
            </w:r>
          </w:p>
        </w:tc>
        <w:tc>
          <w:tcPr>
            <w:tcW w:w="7680" w:type="dxa"/>
            <w:vAlign w:val="center"/>
          </w:tcPr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6.1智慧教学管理系统应用与教学资源库建设实践研究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6.2教学和管理全过程融入人工智能技术的实践研究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6.3信息技术在专业教学中的应用与探索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6.4 MR（混合现实）技术在教育教学中的应用研究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6.5大数据在教学质量管理中的应用研究</w:t>
            </w:r>
          </w:p>
        </w:tc>
      </w:tr>
    </w:tbl>
    <w:p>
      <w:pPr>
        <w:spacing w:line="558" w:lineRule="exact"/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</w:pP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326"/>
    <w:rsid w:val="003A7326"/>
    <w:rsid w:val="009C52D1"/>
    <w:rsid w:val="00A56555"/>
    <w:rsid w:val="00AA5006"/>
    <w:rsid w:val="00AE2C63"/>
    <w:rsid w:val="00C342A9"/>
    <w:rsid w:val="00E53ADE"/>
    <w:rsid w:val="00E73D40"/>
    <w:rsid w:val="652C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20" w:after="360" w:line="480" w:lineRule="exact"/>
      <w:contextualSpacing/>
      <w:jc w:val="center"/>
      <w:outlineLvl w:val="0"/>
    </w:pPr>
    <w:rPr>
      <w:rFonts w:eastAsia="微软雅黑"/>
      <w:b/>
      <w:bCs/>
      <w:iCs/>
      <w:color w:val="0F243E"/>
      <w:kern w:val="0"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uiPriority w:val="9"/>
    <w:rPr>
      <w:rFonts w:ascii="Calibri" w:hAnsi="Calibri" w:eastAsia="微软雅黑" w:cs="Times New Roman"/>
      <w:b/>
      <w:bCs/>
      <w:iCs/>
      <w:color w:val="0F243E"/>
      <w:kern w:val="0"/>
      <w:sz w:val="32"/>
    </w:rPr>
  </w:style>
  <w:style w:type="paragraph" w:styleId="10">
    <w:name w:val="List Paragraph"/>
    <w:basedOn w:val="1"/>
    <w:qFormat/>
    <w:uiPriority w:val="34"/>
    <w:pPr>
      <w:widowControl/>
      <w:spacing w:before="120" w:after="120"/>
      <w:ind w:left="720" w:firstLine="200" w:firstLineChars="200"/>
      <w:contextualSpacing/>
    </w:pPr>
    <w:rPr>
      <w:iCs/>
      <w:color w:val="000000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472</Words>
  <Characters>2693</Characters>
  <Lines>22</Lines>
  <Paragraphs>6</Paragraphs>
  <TotalTime>2</TotalTime>
  <ScaleCrop>false</ScaleCrop>
  <LinksUpToDate>false</LinksUpToDate>
  <CharactersWithSpaces>3159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2020-11-26T09:06:00Z</dcterms:created>
  <dc:creator>Li</dc:creator>
  <cp:lastModifiedBy>444</cp:lastModifiedBy>
  <dcterms:modified xsi:type="dcterms:W3CDTF">2020-12-15T01:02:00Z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